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349F" w14:textId="05598AD1" w:rsidR="00723D38" w:rsidRPr="00F556FB" w:rsidRDefault="003F48C2" w:rsidP="00723D38">
      <w:pPr>
        <w:spacing w:before="195"/>
        <w:ind w:left="340"/>
        <w:rPr>
          <w:rFonts w:ascii="Arial" w:eastAsia="Calibri" w:hAnsi="Arial" w:cs="Arial"/>
          <w:bCs/>
          <w:i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31</w:t>
      </w:r>
      <w:r w:rsidR="00723D3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December</w:t>
      </w:r>
      <w:r w:rsidR="00723D38" w:rsidRPr="00F556FB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2019</w:t>
      </w:r>
      <w:r w:rsidR="00723D3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</w:t>
      </w:r>
    </w:p>
    <w:p w14:paraId="421B6073" w14:textId="0EB89942" w:rsidR="00775107" w:rsidRDefault="00775107"/>
    <w:p w14:paraId="5ADC40AE" w14:textId="4EAA4CE5" w:rsidR="00723D38" w:rsidRDefault="00723D38"/>
    <w:p w14:paraId="2D4D509D" w14:textId="77777777" w:rsidR="00723D38" w:rsidRPr="00F556FB" w:rsidRDefault="00723D38" w:rsidP="00723D38">
      <w:pPr>
        <w:ind w:left="3096" w:right="2869"/>
        <w:jc w:val="center"/>
        <w:rPr>
          <w:rFonts w:ascii="Arial" w:hAnsi="Arial" w:cs="Arial"/>
          <w:b/>
          <w:color w:val="000000" w:themeColor="text1"/>
          <w:spacing w:val="-9"/>
          <w:sz w:val="20"/>
          <w:szCs w:val="20"/>
        </w:rPr>
      </w:pPr>
      <w:r w:rsidRPr="00F556FB">
        <w:rPr>
          <w:rFonts w:ascii="Arial" w:hAnsi="Arial" w:cs="Arial"/>
          <w:b/>
          <w:color w:val="000000" w:themeColor="text1"/>
          <w:sz w:val="20"/>
          <w:szCs w:val="20"/>
        </w:rPr>
        <w:t>RDL</w:t>
      </w:r>
      <w:r w:rsidRPr="00F556FB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  <w:r w:rsidRPr="00F556FB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Realisation</w:t>
      </w:r>
      <w:r w:rsidRPr="00F556FB">
        <w:rPr>
          <w:rFonts w:ascii="Arial" w:hAnsi="Arial" w:cs="Arial"/>
          <w:b/>
          <w:color w:val="000000" w:themeColor="text1"/>
          <w:spacing w:val="-6"/>
          <w:sz w:val="20"/>
          <w:szCs w:val="20"/>
        </w:rPr>
        <w:t xml:space="preserve"> </w:t>
      </w:r>
      <w:r w:rsidRPr="00F556FB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Plc</w:t>
      </w:r>
      <w:r w:rsidRPr="00F556FB">
        <w:rPr>
          <w:rFonts w:ascii="Arial" w:hAnsi="Arial" w:cs="Arial"/>
          <w:b/>
          <w:color w:val="000000" w:themeColor="text1"/>
          <w:spacing w:val="-9"/>
          <w:sz w:val="20"/>
          <w:szCs w:val="20"/>
        </w:rPr>
        <w:t xml:space="preserve"> </w:t>
      </w:r>
    </w:p>
    <w:p w14:paraId="0A1A6B2F" w14:textId="77777777" w:rsidR="00723D38" w:rsidRPr="00F556FB" w:rsidRDefault="00723D38" w:rsidP="00723D38">
      <w:pPr>
        <w:ind w:left="3096" w:right="2869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56FB">
        <w:rPr>
          <w:rFonts w:ascii="Arial" w:hAnsi="Arial" w:cs="Arial"/>
          <w:b/>
          <w:color w:val="000000" w:themeColor="text1"/>
          <w:sz w:val="20"/>
          <w:szCs w:val="20"/>
        </w:rPr>
        <w:t>(“RDL” or the</w:t>
      </w:r>
      <w:r w:rsidRPr="00F556FB">
        <w:rPr>
          <w:rFonts w:ascii="Arial" w:hAnsi="Arial" w:cs="Arial"/>
          <w:b/>
          <w:color w:val="000000" w:themeColor="text1"/>
          <w:spacing w:val="-8"/>
          <w:sz w:val="20"/>
          <w:szCs w:val="20"/>
        </w:rPr>
        <w:t xml:space="preserve"> </w:t>
      </w:r>
      <w:r w:rsidRPr="00F556FB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"Company")</w:t>
      </w:r>
    </w:p>
    <w:p w14:paraId="328E9CE0" w14:textId="77777777" w:rsidR="00723D38" w:rsidRPr="00F556FB" w:rsidRDefault="00723D38" w:rsidP="00723D38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4251D0F" w14:textId="254E8E57" w:rsidR="00723D38" w:rsidRDefault="00723D38" w:rsidP="00723D38">
      <w:pPr>
        <w:spacing w:before="126"/>
        <w:ind w:right="36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  <w:r w:rsidRPr="00F556FB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Update</w:t>
      </w:r>
      <w:r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 xml:space="preserve"> </w:t>
      </w:r>
      <w:r w:rsidR="008B38D3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– Standstill Agreement</w:t>
      </w:r>
    </w:p>
    <w:p w14:paraId="1C61CA3F" w14:textId="77777777" w:rsidR="00723D38" w:rsidRPr="00F556FB" w:rsidRDefault="00723D38" w:rsidP="00723D38">
      <w:pPr>
        <w:spacing w:before="126"/>
        <w:ind w:right="36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p w14:paraId="263C8987" w14:textId="215EF25D" w:rsidR="00723D38" w:rsidRPr="00E06870" w:rsidRDefault="004D675A" w:rsidP="00E06870">
      <w:pPr>
        <w:pStyle w:val="BodyText"/>
        <w:ind w:right="265"/>
        <w:jc w:val="both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>
        <w:rPr>
          <w:rFonts w:ascii="Arial" w:hAnsi="Arial" w:cs="Arial"/>
          <w:color w:val="000000" w:themeColor="text1"/>
          <w:spacing w:val="-1"/>
          <w:sz w:val="20"/>
          <w:szCs w:val="20"/>
        </w:rPr>
        <w:t>Further to the announcement (RNS No: 4434F) made on 12 July 2019, t</w:t>
      </w:r>
      <w:r w:rsidR="00723D38" w:rsidRPr="00F556FB">
        <w:rPr>
          <w:rFonts w:ascii="Arial" w:hAnsi="Arial" w:cs="Arial"/>
          <w:color w:val="000000" w:themeColor="text1"/>
          <w:spacing w:val="-1"/>
          <w:sz w:val="20"/>
          <w:szCs w:val="20"/>
        </w:rPr>
        <w:t>he</w:t>
      </w:r>
      <w:r w:rsidR="00723D38" w:rsidRPr="00E0687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723D38" w:rsidRPr="00F556FB">
        <w:rPr>
          <w:rFonts w:ascii="Arial" w:hAnsi="Arial" w:cs="Arial"/>
          <w:color w:val="000000" w:themeColor="text1"/>
          <w:spacing w:val="-1"/>
          <w:sz w:val="20"/>
          <w:szCs w:val="20"/>
        </w:rPr>
        <w:t>Company</w:t>
      </w:r>
      <w:r w:rsidR="00723D38" w:rsidRPr="00E0687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="00E06870" w:rsidRPr="00E0687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has been notified that Oaktree Value Equity Holdings, L.P. and LIM Advisors (London) Limited have </w:t>
      </w:r>
      <w:r w:rsidR="00E06870">
        <w:rPr>
          <w:rFonts w:ascii="Arial" w:hAnsi="Arial" w:cs="Arial"/>
          <w:color w:val="000000" w:themeColor="text1"/>
          <w:spacing w:val="-1"/>
          <w:sz w:val="20"/>
          <w:szCs w:val="20"/>
        </w:rPr>
        <w:t>extend</w:t>
      </w:r>
      <w:r>
        <w:rPr>
          <w:rFonts w:ascii="Arial" w:hAnsi="Arial" w:cs="Arial"/>
          <w:color w:val="000000" w:themeColor="text1"/>
          <w:spacing w:val="-1"/>
          <w:sz w:val="20"/>
          <w:szCs w:val="20"/>
        </w:rPr>
        <w:t>ed</w:t>
      </w:r>
      <w:r w:rsidR="00E0687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their agreement </w:t>
      </w:r>
      <w:r w:rsidR="00E06870" w:rsidRPr="00E0687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with each other, </w:t>
      </w:r>
      <w:r w:rsidR="00CC2416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unchanged and </w:t>
      </w:r>
      <w:r w:rsidR="00E06870" w:rsidRPr="00E06870">
        <w:rPr>
          <w:rFonts w:ascii="Arial" w:hAnsi="Arial" w:cs="Arial"/>
          <w:color w:val="000000" w:themeColor="text1"/>
          <w:spacing w:val="-1"/>
          <w:sz w:val="20"/>
          <w:szCs w:val="20"/>
        </w:rPr>
        <w:t>subject to certain conditions, not to requisition any addition to or removal from the Company's Board of Directors for the period up to 31</w:t>
      </w:r>
      <w:r w:rsidR="00E06870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March 2020</w:t>
      </w:r>
      <w:r w:rsidR="00E06870" w:rsidRPr="00E06870">
        <w:rPr>
          <w:rFonts w:ascii="Arial" w:hAnsi="Arial" w:cs="Arial"/>
          <w:color w:val="000000" w:themeColor="text1"/>
          <w:spacing w:val="-1"/>
          <w:sz w:val="20"/>
          <w:szCs w:val="20"/>
        </w:rPr>
        <w:t>.</w:t>
      </w:r>
    </w:p>
    <w:p w14:paraId="4BB2FEAE" w14:textId="2CE13753" w:rsidR="00723D38" w:rsidRDefault="00723D38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57142406" w14:textId="78690A8F" w:rsidR="00723D38" w:rsidRPr="00723D38" w:rsidRDefault="00723D38" w:rsidP="00723D38">
      <w:pPr>
        <w:pStyle w:val="Heading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23D38">
        <w:rPr>
          <w:rFonts w:ascii="Arial" w:eastAsia="Times New Roman" w:hAnsi="Arial" w:cs="Arial"/>
          <w:color w:val="000000" w:themeColor="text1"/>
          <w:sz w:val="20"/>
          <w:szCs w:val="20"/>
        </w:rPr>
        <w:t>For further information, please contact:</w:t>
      </w:r>
    </w:p>
    <w:p w14:paraId="70C70668" w14:textId="1E4DCABB" w:rsidR="00723D38" w:rsidRDefault="00723D38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296720A8" w14:textId="4BDAA749" w:rsidR="00723D38" w:rsidRDefault="00723D38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Link Company Matters Limited</w:t>
      </w:r>
    </w:p>
    <w:p w14:paraId="7654C66E" w14:textId="63D7E765" w:rsidR="00723D38" w:rsidRDefault="00723D38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Secretary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  <w:t>+44 (0)1392 477571</w:t>
      </w:r>
    </w:p>
    <w:p w14:paraId="6CD4E7C1" w14:textId="3ECBBDB1" w:rsidR="008B38D3" w:rsidRDefault="008B38D3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2938FC67" w14:textId="0AA8DD7B" w:rsidR="008B38D3" w:rsidRDefault="008B38D3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Liberum Capital Limited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ab/>
        <w:t>+44 (0)20 3100 2000</w:t>
      </w:r>
    </w:p>
    <w:p w14:paraId="0B4573B4" w14:textId="027486D4" w:rsidR="008B38D3" w:rsidRDefault="008B38D3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4B651C9A" w14:textId="024A4C1A" w:rsidR="008B38D3" w:rsidRDefault="008B38D3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Joshua Hughes</w:t>
      </w:r>
    </w:p>
    <w:p w14:paraId="0949806F" w14:textId="63D0DDF7" w:rsidR="008B38D3" w:rsidRDefault="008B38D3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4B2EF774" w14:textId="32BC1B53" w:rsidR="008B38D3" w:rsidRPr="008B38D3" w:rsidRDefault="008B38D3" w:rsidP="008B38D3">
      <w:pPr>
        <w:pStyle w:val="Heading2"/>
        <w:rPr>
          <w:rFonts w:ascii="Arial" w:hAnsi="Arial" w:cs="Arial"/>
          <w:color w:val="000000" w:themeColor="text1"/>
          <w:spacing w:val="-1"/>
          <w:sz w:val="20"/>
          <w:szCs w:val="20"/>
        </w:rPr>
      </w:pPr>
      <w:r w:rsidRPr="008B38D3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LEI: 549300VGZSKYQ7C2U221</w:t>
      </w:r>
    </w:p>
    <w:p w14:paraId="5EE03D0C" w14:textId="77777777" w:rsidR="008B38D3" w:rsidRPr="00723D38" w:rsidRDefault="008B38D3" w:rsidP="00723D38">
      <w:pPr>
        <w:pStyle w:val="Heading2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sectPr w:rsidR="008B38D3" w:rsidRPr="0072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7F1"/>
    <w:multiLevelType w:val="hybridMultilevel"/>
    <w:tmpl w:val="F77CDC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6F029A0"/>
    <w:multiLevelType w:val="hybridMultilevel"/>
    <w:tmpl w:val="1E40E8F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38"/>
    <w:rsid w:val="000A4C50"/>
    <w:rsid w:val="000E2375"/>
    <w:rsid w:val="003F48C2"/>
    <w:rsid w:val="004D675A"/>
    <w:rsid w:val="00622C74"/>
    <w:rsid w:val="00723D38"/>
    <w:rsid w:val="00775107"/>
    <w:rsid w:val="008B38D3"/>
    <w:rsid w:val="00CC2416"/>
    <w:rsid w:val="00E06870"/>
    <w:rsid w:val="00E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9F2B"/>
  <w15:chartTrackingRefBased/>
  <w15:docId w15:val="{A5B533BA-3456-4723-A351-FFE0A18A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38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23D38"/>
    <w:pPr>
      <w:ind w:left="34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3D38"/>
    <w:pPr>
      <w:ind w:left="3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3D38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723D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3D38"/>
    <w:rPr>
      <w:rFonts w:ascii="Calibri" w:eastAsia="Calibri" w:hAnsi="Calibri"/>
      <w:b/>
      <w:bCs/>
      <w:lang w:val="en-US"/>
    </w:rPr>
  </w:style>
  <w:style w:type="character" w:customStyle="1" w:styleId="bz">
    <w:name w:val="bz"/>
    <w:basedOn w:val="DefaultParagraphFont"/>
    <w:rsid w:val="00E06870"/>
  </w:style>
  <w:style w:type="paragraph" w:customStyle="1" w:styleId="ey">
    <w:name w:val="ey"/>
    <w:basedOn w:val="Normal"/>
    <w:rsid w:val="008B3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h">
    <w:name w:val="bh"/>
    <w:basedOn w:val="DefaultParagraphFont"/>
    <w:rsid w:val="008B38D3"/>
  </w:style>
  <w:style w:type="paragraph" w:customStyle="1" w:styleId="dw">
    <w:name w:val="dw"/>
    <w:basedOn w:val="Normal"/>
    <w:rsid w:val="008B3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">
    <w:name w:val="cl"/>
    <w:basedOn w:val="DefaultParagraphFont"/>
    <w:rsid w:val="008B38D3"/>
  </w:style>
  <w:style w:type="paragraph" w:customStyle="1" w:styleId="ez">
    <w:name w:val="ez"/>
    <w:basedOn w:val="Normal"/>
    <w:rsid w:val="008B38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Freeman</dc:creator>
  <cp:keywords/>
  <dc:description/>
  <cp:lastModifiedBy>Lamb, Emma (Link Group EMEA)</cp:lastModifiedBy>
  <cp:revision>2</cp:revision>
  <dcterms:created xsi:type="dcterms:W3CDTF">2019-12-31T12:17:00Z</dcterms:created>
  <dcterms:modified xsi:type="dcterms:W3CDTF">2019-12-31T12:17:00Z</dcterms:modified>
</cp:coreProperties>
</file>